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330</w:t>
      </w:r>
    </w:p>
    <w:p>
      <w:r>
        <w:t>Bundesgericht (BGE), 1994-11-18, DE</w:t>
      </w:r>
    </w:p>
    <w:p>
      <w:r>
        <w:rPr>
          <w:b/>
        </w:rPr>
        <w:t xml:space="preserve">Quelle: </w:t>
      </w:r>
      <w:r>
        <w:t>https://mcp.opencaselaw.ch/entscheid/bge_120 IV 330</w:t>
      </w:r>
    </w:p>
    <w:p>
      <w:r>
        <w:t>FR: ATF 120 IV 330</w:t>
      </w:r>
    </w:p>
    <w:p>
      <w:r>
        <w:t>IT: DTF 120 IV 330</w:t>
      </w:r>
    </w:p>
    <w:p>
      <w:pPr>
        <w:pStyle w:val="Heading2"/>
      </w:pPr>
      <w:r>
        <w:t>Regeste</w:t>
      </w:r>
    </w:p>
    <w:p>
      <w:r>
        <w:t>Regeste Art. 19 Ziff. 2 BetmG; Art. 63 StGB; Widerhandlung gegen das Betäubungsmittelgesetz, schwerer Fall, Zusammentreffen mehrerer Qualifikationsgründe; Strafzumessung bei Zwischenhandel. Ist ein Qualifikationsgrund gegeben, liegt ein schwerer Fall vor und kommt der dafür vorgesehene verschärfte Strafrahmen zur Anwendung. Ein weiterer Qualifikationsgrund kann sich deshalb nur innerhalb des verschärften Strafrahmens straferhöhend auswirken (E. 1). Konsequenzen für die Strafzumessung bei einem Zwischenhändler, der den Heroinhandel in seinem Bereich mit beherrschenden Mitteln organisierte (E. 1c/bb u. 2).</w:t>
      </w:r>
    </w:p>
    <w:p>
      <w:pPr>
        <w:pStyle w:val="Heading2"/>
      </w:pPr>
      <w:r>
        <w:t>Erwägungen</w:t>
      </w:r>
    </w:p>
    <w:p>
      <w:r>
        <w:rPr>
          <w:b/>
        </w:rPr>
        <w:t>E. 1</w:t>
      </w:r>
    </w:p>
    <w:p>
      <w:r>
        <w:t>a) Art. 19 Ziff. 1 Satz 1 BetmG (SR 812.121) stellt den unbefugten Anbau, Handel und Besitz von Betäubungsmitteln in allen seinen Formen unter Strafe. Für die vorsätzliche Tatbegehung droht das Gesetz Gefängnis oder Busse an. Nach Art. 19 Ziff. 1 Satz 2 BetmG ist in schweren Fällen die Strafe Zuchthaus oder Gefängnis nicht unter einem Jahr, womit eine Busse bis zu einer Million Franken verbunden werden kann. Gemäss Art. 19 Ziff. 2 BetmG liegt ein schwerer Fall insbesondere vor, wenn der Täter BGE 120 IV 330 S. 332 (a) weiss oder annehmen muss, dass sich die Widerhandlung auf eine Menge von Betäubungsmitteln bezieht, welche die Gesundheit vieler Menschen in Gefahr bringen kann; (b) als Mitglied einer Bande handelt, die sich zur Ausübung des unerlaubten Betäubungsmittelverkehrs zusammengefunden hat; (c) durch gewerbsmässigen Handel einen grossen Umsatz oder einen erheblichen Gewinn erzielt. b) Die Vorinstanz hat den schweren Fall unter dem Gesichtspunkt aller drei Qualifikationsgründe gemäss Ziff. 2 lit. a-c bejaht. Der Beschwerdeführer stellt insoweit nur die Bandenmässigkeit nach lit. b in Frage. aa) Nach den Ausführungen der Vorinstanz beteiligte sich der Beschwerdeführer ab Herbst 1991 bis zu seiner Anhaltung durch die Polizei am 2. Februar 1993 in der Rolle eines Zwischenhändlers am Drogenhandel. Mehrere Indizien sprächen dafür, dass er in die Organisation der Gebrüder S. eingebettet gewesen sei, unabhängig davon, ob er die Gebrüder S. persönlich gekannt habe. Der Beschwerdeführer sei erwiesenermassen mit einigen ihrer Mittelsmänner in der Schweiz bekannt gewesen. Von diesen habe er immer wieder einen grossen Teil seines Heroins bezogen, das er in kleine Portionen abgepackt bzw. durch Z. habe abpacken lassen, um es anschliessend an reine Dealer oder an Konsumenten, welche wiederum dealten, verkaufen zu lassen. Die Bandenmässigkeit gemäss lit. b sei damit erfüllt. bb) Soweit der Beschwerdeführer die Sachverhaltsfeststellungen der Vorinstanz in Frage stellt, ist er nicht zu hören. Im Verfahren der eidgenössischen Nichtigkeitsbeschwerde ist das Bundesgericht an die tatsächlichen Feststellungen der kantonalen Behörde gebunden ( Art. 277bis Abs. 1 BStP ). cc) Der Beschwerdeführer macht geltend, es sei nicht ersichtlich, weshalb bei der von ihm ausgeübten Zwischenhändlerrolle Bandenmässigkeit anzunehmen sei. Es sei selbstverständlich, dass ein Zwischenhändler Grosshändler kennen müsse, da er sonst gar nicht in der Lage wäre, mit Betäubungsmitteln zu handeln. Dass sich Grosshändler teilweise bandenmässig organisierten, mache die kleinen Zwischenhändler, die von diesen Personen Betäubungsmittel erwerben, nicht zu Mitgliedern dieser Bande. c) aa) Art. 19 Ziff. 2 BetmG umschreibt, wie sich aus dem Begriff "insbesondere" ergibt, den schweren Fall nicht abschliessend. Die Buchstaben a-c nennen dafür Beispiele. Der schwere Fall kann somit gegeben sein aufgrund der Menge (lit. a), der Bandenmässigkeit (lit. b), der BGE 120 IV 330 S. 333 Gewerbsmässigkeit (lit. c) oder eines anderen qualifizierenden Umstands (BGE BGE 114 IV 164 ). Ist ein Qualifikationsgrund gegeben, liegt ein schwerer Fall vor und kommt der dafür vorgesehene verschärfte Strafrahmen zur Anwendung. Der Strafrahmen kann nicht noch weiter verschärft werden. Ob weitere Qualifikationsgründe erfüllt sind, ist insoweit belanglos. Die Annahme eines weiteren Qualifikationsgrundes kann sich nur innerhalb des verschärften Strafrahmens gemäss Art. 63 StGB straferhöhend auswirken ( BGE 112 IV 109 E. 2c; BGE 116 IV 300 E. 2a). bb) Der schwere Fall ist hier aufgrund von lit. a und c von Art. 19 Ziff. 2 BetmG unstreitig gegeben. Damit ist bei der Strafzumessung vom verschärften Strafrahmen auszugehen, unabhängig davon, ob zusätzlich Bandenmässigkeit nach lit. b anzunehmen ist. Die Bandenmässigkeit kann nur zu einer Straferhöhung innerhalb des verschärften Strafrahmens führen. Straferhöhend berücksichtigen durfte die Vorinstanz die oben (E. 1b/aa) angeführten Umstände aber auch dann, wenn man annehmen wollte, dass sich daraus die Bandenmässigkeit nach lit. b nicht ergibt. Ob die Bejahung der Bandenmässigkeit hier mit dem Bundesrecht in Einklang steht, kann deshalb offenbleiben. Dass die Vorinstanz den streitigen Straferhöhungsgrund in Überschreitung ihres Ermessens zu stark gewichtet hätte ( BGE 120 IV 136 E. 3a mit Hinweisen), macht der Beschwerdeführer nicht geltend und ist auch nicht ersichtlich.</w:t>
      </w:r>
    </w:p>
    <w:p>
      <w:r>
        <w:rPr>
          <w:b/>
        </w:rPr>
        <w:t>E. 2</w:t>
      </w:r>
    </w:p>
    <w:p>
      <w:r>
        <w:t>Der Beschwerdeführer macht überdies - unabhängig vom vorangegangenen Beschwerdepunkt - geltend, die Strafzumessung verletze Bundesrecht. Der Einwand ist unbegründet. Die Vorinstanz hat die für die Strafzumessung massgeblichen Gesichtspunkte berücksichtigt und keine unhaltbar harte Strafe ausgesprochen. Auf ihre Ausführungen sowie auf die Vernehmlassung der Staatsanwaltschaft kann verwiesen werden (vgl. Art. 36a Abs. 3 OG ). Hinzuzufügen ist, dass der Beschwerdeführer bei den gegebenen Heroinmengen keineswegs nur als kleiner Zwischenhändler eingestuft werden kann. Die Art, wie er sich gegenüber Z. verhielt, durfte die Vorinstanz straferhöhend berücksichtigen. Denn daraus wird deutlich, dass der Beschwerdeführer den Zwischenhandel in seinem Bereich mit beherrschenden Mitteln organisierte. Zu Unrecht macht der Beschwerdeführer geltend, die Vorinstanz habe sein Benehmen gegenüber den früheren Freundinnen straferhöhend berücksichtigt. Die Vorinstanz ist darauf nur eingegangen im Zusammenhang mit der BGE 120 IV 330 S. 334 beweismässig umstrittenen Frage, wie sich der Beschwerdeführer gegenüber Z. verhalten habe.</w:t>
      </w:r>
    </w:p>
    <w:p>
      <w:r>
        <w:rPr>
          <w:b/>
        </w:rPr>
        <w:t>E. 3</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